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2E" w:rsidRDefault="000741C1">
      <w:pPr>
        <w:pStyle w:val="Standard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PROGRAMMATION / PROGRESSION MATERNELLE</w:t>
      </w:r>
    </w:p>
    <w:p w:rsidR="00E14D2E" w:rsidRDefault="000741C1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AUTOUR DU PRINCIPE ALPHABETIQUE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</w:rPr>
      </w:pPr>
      <w:r>
        <w:rPr>
          <w:rFonts w:ascii="Arial" w:hAnsi="Arial"/>
        </w:rPr>
        <w:t>Objectifs : Prendre en charge en équipe les pré-requis à l'entrée dans la lecture.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Outils : Évaluation oura </w:t>
      </w:r>
      <w:r>
        <w:rPr>
          <w:rFonts w:ascii="Arial" w:hAnsi="Arial"/>
        </w:rPr>
        <w:t>septembre en CP noms des lettres et sons des lettres, suppression syllabique.</w:t>
      </w:r>
    </w:p>
    <w:p w:rsidR="00E14D2E" w:rsidRDefault="000741C1">
      <w:pPr>
        <w:pStyle w:val="Standard"/>
        <w:rPr>
          <w:rFonts w:ascii="Arial" w:hAnsi="Arial"/>
        </w:rPr>
      </w:pPr>
      <w:r>
        <w:rPr>
          <w:rFonts w:ascii="Arial" w:hAnsi="Arial"/>
        </w:rPr>
        <w:t>Évaluations phono dans le cadre de la visite de la médecine scolaire en GS (Rimes, comptage syllabique, suppression)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E14D2E">
      <w:pPr>
        <w:pStyle w:val="Standard"/>
        <w:rPr>
          <w:rFonts w:ascii="Arial" w:hAnsi="Arial"/>
        </w:rPr>
      </w:pPr>
    </w:p>
    <w:tbl>
      <w:tblPr>
        <w:tblW w:w="10661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0"/>
        <w:gridCol w:w="2267"/>
        <w:gridCol w:w="2267"/>
        <w:gridCol w:w="2267"/>
      </w:tblGrid>
      <w:tr w:rsidR="00E14D2E">
        <w:tblPrEx>
          <w:tblCellMar>
            <w:top w:w="0" w:type="dxa"/>
            <w:bottom w:w="0" w:type="dxa"/>
          </w:tblCellMar>
        </w:tblPrEx>
        <w:tc>
          <w:tcPr>
            <w:tcW w:w="10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DÉCOUVERTE DU PRINCIPE ALPHABÉTIQUE</w:t>
            </w:r>
          </w:p>
          <w:p w:rsidR="00E14D2E" w:rsidRDefault="000741C1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color w:val="000000"/>
                <w:sz w:val="18"/>
              </w:rPr>
              <w:t>Compléter avec la pério</w:t>
            </w:r>
            <w:r>
              <w:rPr>
                <w:color w:val="000000"/>
                <w:sz w:val="18"/>
              </w:rPr>
              <w:t>de, voire les activités, outils, jeux...</w:t>
            </w:r>
          </w:p>
          <w:p w:rsidR="00E14D2E" w:rsidRDefault="00E14D2E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Standard"/>
              <w:shd w:val="clear" w:color="auto" w:fill="FF00CC"/>
              <w:rPr>
                <w:rFonts w:ascii="Arial" w:hAnsi="Arial"/>
                <w:shd w:val="clear" w:color="auto" w:fill="FF00CC"/>
              </w:rPr>
            </w:pPr>
            <w:r>
              <w:rPr>
                <w:rFonts w:ascii="Arial" w:hAnsi="Arial"/>
                <w:shd w:val="clear" w:color="auto" w:fill="FF00CC"/>
              </w:rPr>
              <w:t>Connaissance des lettres.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  <w:shd w:val="clear" w:color="auto" w:fill="FF99FF"/>
              </w:rPr>
              <w:t>Affichage de l'alphabet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script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  <w:shd w:val="clear" w:color="auto" w:fill="FF99FF"/>
              </w:rPr>
              <w:t>Affichage des</w:t>
            </w:r>
            <w:r>
              <w:rPr>
                <w:rFonts w:ascii="Arial" w:hAnsi="Arial"/>
                <w:shd w:val="clear" w:color="auto" w:fill="FF99FF"/>
              </w:rPr>
              <w:t xml:space="preserve"> mots de référence (jour de la semaine...)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script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  <w:shd w:val="clear" w:color="auto" w:fill="FF99FF"/>
              </w:rPr>
              <w:t>ÉTIQUETTE PRENOM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script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  <w:shd w:val="clear" w:color="auto" w:fill="FF99FF"/>
              </w:rPr>
              <w:t>Écriture du PE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  <w:shd w:val="clear" w:color="auto" w:fill="FF99FF"/>
              </w:rPr>
              <w:t>Étude</w:t>
            </w:r>
            <w:r>
              <w:rPr>
                <w:rFonts w:ascii="Arial" w:hAnsi="Arial"/>
                <w:shd w:val="clear" w:color="auto" w:fill="FF99FF"/>
              </w:rPr>
              <w:t xml:space="preserve"> des lettres</w:t>
            </w:r>
            <w:r>
              <w:rPr>
                <w:rFonts w:ascii="Arial" w:hAnsi="Arial"/>
              </w:rPr>
              <w:t>,( tri de lettre</w:t>
            </w:r>
          </w:p>
          <w:p w:rsidR="00E14D2E" w:rsidRDefault="000741C1">
            <w:pPr>
              <w:pStyle w:val="TableContents"/>
              <w:jc w:val="right"/>
              <w:rPr>
                <w:rFonts w:ascii="Arial" w:hAnsi="Arial"/>
                <w:shd w:val="clear" w:color="auto" w:fill="FF99FF"/>
              </w:rPr>
            </w:pPr>
            <w:r>
              <w:rPr>
                <w:rFonts w:ascii="Arial" w:hAnsi="Arial"/>
              </w:rPr>
              <w:t>reconstitution de mot, tri de mot, 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script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hd w:val="clear" w:color="auto" w:fill="FF99FF"/>
              </w:rPr>
              <w:t>Apprentissages du nom des lettres</w:t>
            </w:r>
          </w:p>
        </w:tc>
        <w:tc>
          <w:tcPr>
            <w:tcW w:w="68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Outils de cycle commun ? Référenciel de mots communs avec les CP.</w:t>
            </w: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 script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shd w:val="clear" w:color="auto" w:fill="FFFF00"/>
              <w:rPr>
                <w:rFonts w:ascii="Arial" w:hAnsi="Arial"/>
              </w:rPr>
            </w:pPr>
            <w:r>
              <w:rPr>
                <w:rFonts w:ascii="Arial" w:hAnsi="Arial"/>
              </w:rPr>
              <w:t>PHONOLOGIE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Segmenter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dénombrer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Répéter la fin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Répéter le début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lastRenderedPageBreak/>
              <w:t>Supprimer la fin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Supprimer le début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Rimes d'attaques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Rimes de fin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Repérer une syllabe dans un mot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Localiser une syllabe dans un mot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rPr>
                <w:rFonts w:ascii="Arial" w:hAnsi="Arial"/>
                <w:shd w:val="clear" w:color="auto" w:fill="FFFF99"/>
              </w:rPr>
            </w:pPr>
            <w:r>
              <w:rPr>
                <w:rFonts w:ascii="Arial" w:hAnsi="Arial"/>
                <w:shd w:val="clear" w:color="auto" w:fill="FFFF99"/>
              </w:rPr>
              <w:t>Apprentissages du son des lettres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shd w:val="clear" w:color="auto" w:fill="00CC33"/>
              <w:rPr>
                <w:rFonts w:ascii="Arial" w:hAnsi="Arial"/>
              </w:rPr>
            </w:pPr>
            <w:r>
              <w:rPr>
                <w:rFonts w:ascii="Arial" w:hAnsi="Arial"/>
              </w:rPr>
              <w:t>Écritures des lettres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  <w:shd w:val="clear" w:color="auto" w:fill="66FF99"/>
              </w:rPr>
            </w:pPr>
            <w:r>
              <w:rPr>
                <w:rFonts w:ascii="Arial" w:hAnsi="Arial"/>
                <w:shd w:val="clear" w:color="auto" w:fill="66FF99"/>
              </w:rPr>
              <w:t xml:space="preserve"> en </w:t>
            </w:r>
            <w:r>
              <w:rPr>
                <w:rFonts w:ascii="Arial" w:hAnsi="Arial"/>
                <w:shd w:val="clear" w:color="auto" w:fill="66FF99"/>
              </w:rPr>
              <w:t>capital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  <w:tr w:rsidR="00E14D2E">
        <w:tblPrEx>
          <w:tblCellMar>
            <w:top w:w="0" w:type="dxa"/>
            <w:bottom w:w="0" w:type="dxa"/>
          </w:tblCellMar>
        </w:tblPrEx>
        <w:tc>
          <w:tcPr>
            <w:tcW w:w="3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0741C1">
            <w:pPr>
              <w:pStyle w:val="TableContents"/>
              <w:jc w:val="right"/>
              <w:rPr>
                <w:rFonts w:ascii="Arial" w:hAnsi="Arial"/>
                <w:shd w:val="clear" w:color="auto" w:fill="66FF99"/>
              </w:rPr>
            </w:pPr>
            <w:r>
              <w:rPr>
                <w:rFonts w:ascii="Arial" w:hAnsi="Arial"/>
                <w:shd w:val="clear" w:color="auto" w:fill="66FF99"/>
              </w:rPr>
              <w:t>en cursif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4D2E" w:rsidRDefault="00E14D2E">
            <w:pPr>
              <w:pStyle w:val="TableContents"/>
              <w:rPr>
                <w:rFonts w:ascii="Arial" w:hAnsi="Arial"/>
              </w:rPr>
            </w:pPr>
          </w:p>
        </w:tc>
      </w:tr>
    </w:tbl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</w:rPr>
      </w:pPr>
      <w:r>
        <w:rPr>
          <w:rFonts w:ascii="Arial" w:hAnsi="Arial"/>
        </w:rPr>
        <w:t>Concernant la phono :</w:t>
      </w:r>
    </w:p>
    <w:p w:rsidR="00E14D2E" w:rsidRDefault="000741C1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Travail avec et sans étiquettes</w:t>
      </w:r>
    </w:p>
    <w:p w:rsidR="00E14D2E" w:rsidRDefault="000741C1">
      <w:pPr>
        <w:pStyle w:val="Standard"/>
        <w:spacing w:line="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Travail des non-mots</w:t>
      </w:r>
    </w:p>
    <w:p w:rsidR="00E14D2E" w:rsidRDefault="000741C1">
      <w:pPr>
        <w:pStyle w:val="Standard"/>
        <w:spacing w:line="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Réflexion sur le mode de regroupement lors de la phono, collectif demie-classe / groupe de couleur / de besoin.</w:t>
      </w:r>
    </w:p>
    <w:p w:rsidR="00E14D2E" w:rsidRDefault="000741C1">
      <w:pPr>
        <w:pStyle w:val="Standard"/>
        <w:spacing w:line="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Variation de la fréquence des séances en fonction des compétences→ de </w:t>
      </w:r>
      <w:r>
        <w:rPr>
          <w:rFonts w:ascii="Arial" w:hAnsi="Arial"/>
          <w:color w:val="000000"/>
          <w:sz w:val="20"/>
          <w:szCs w:val="20"/>
        </w:rPr>
        <w:t>1 à 4 fois séance par semaine.</w:t>
      </w:r>
    </w:p>
    <w:p w:rsidR="00E14D2E" w:rsidRDefault="000741C1">
      <w:pPr>
        <w:pStyle w:val="Standard"/>
        <w:spacing w:line="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Jouer sur la durée des séances, plus courtes 10 à 15 minutes mais en groupes de 4 ou 5 max.</w:t>
      </w:r>
    </w:p>
    <w:p w:rsidR="00E14D2E" w:rsidRDefault="000741C1">
      <w:pPr>
        <w:pStyle w:val="Standard"/>
        <w:spacing w:line="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Place de l'atsem , de l'enseignant de PS dans la prise en charge en équipe de la phonologie.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E14D2E">
      <w:pPr>
        <w:pStyle w:val="Standard"/>
        <w:pageBreakBefore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REPERES DANS LES PROGRAMMES :</w:t>
      </w:r>
    </w:p>
    <w:p w:rsidR="00E14D2E" w:rsidRDefault="000741C1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Découvrir le principe alphabétique :</w:t>
      </w:r>
    </w:p>
    <w:p w:rsidR="00E14D2E" w:rsidRDefault="000741C1">
      <w:pPr>
        <w:pStyle w:val="Textbody"/>
        <w:rPr>
          <w:rFonts w:ascii="Arial" w:hAnsi="Arial"/>
        </w:rPr>
      </w:pPr>
      <w:r>
        <w:rPr>
          <w:rFonts w:ascii="Arial" w:hAnsi="Arial"/>
        </w:rPr>
        <w:t>La dé</w:t>
      </w:r>
      <w:r>
        <w:rPr>
          <w:rFonts w:ascii="Arial" w:hAnsi="Arial"/>
        </w:rPr>
        <w:t>couverte du principe alphabétique rend possible les premières écritures autonomes en fin d’école maternelle parce qu’elle est associée à des savoirs complexes et à de nouveaux savoir‐faire :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‐ la découverte de la fonction de l’écrit et les productions avec</w:t>
      </w:r>
      <w:r>
        <w:rPr>
          <w:rFonts w:ascii="Arial" w:hAnsi="Arial"/>
        </w:rPr>
        <w:t xml:space="preserve"> l’aide d’un adulte ;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‐ la manipulation d’unités sonores non‐signifiantes de la langue qui produit des habiletés qui sont utilisées lorsque les enfants essaient d’écrire ;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‐ parallèlement, à partir de la moyenne section, l’initiation aux tracés de l’écrit</w:t>
      </w:r>
      <w:r>
        <w:rPr>
          <w:rFonts w:ascii="Arial" w:hAnsi="Arial"/>
        </w:rPr>
        <w:t>ure ;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‐ la découverte des correspondances entre les trois écritures (cursive, script, capitales) qui donne aux enfants une palette de possibles, en tracé manuscrit et sur traitement de texte.</w:t>
      </w:r>
    </w:p>
    <w:p w:rsidR="00E14D2E" w:rsidRDefault="000741C1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L’écriture autonome constitue l’aboutissement de ces différents </w:t>
      </w:r>
      <w:r>
        <w:rPr>
          <w:rFonts w:ascii="Arial" w:hAnsi="Arial"/>
        </w:rPr>
        <w:t>apprentissages et découvertes.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</w:rPr>
      </w:pPr>
      <w:r>
        <w:rPr>
          <w:rFonts w:ascii="Arial" w:hAnsi="Arial"/>
        </w:rPr>
        <w:t>L’écriture en capitales, plus facile graphiquement, ne fait pas l’objet d’un enseignement systématique ; lorsqu’elle est pratiquée par les enfants, l’enseignant veille au respect de l’ordre des lettres et met en évidence le</w:t>
      </w:r>
      <w:r>
        <w:rPr>
          <w:rFonts w:ascii="Arial" w:hAnsi="Arial"/>
        </w:rPr>
        <w:t>s conséquences du respect ou non de cet ordre sur ce qui peut ensuite être lu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L’objectif étant de construire la valeur symbolique des lettres, l’enseignant veille à ne jamais isoler les trois composantes de l’écriture : la composante sémantique (le sens </w:t>
      </w:r>
      <w:r>
        <w:rPr>
          <w:rFonts w:ascii="Arial" w:hAnsi="Arial"/>
        </w:rPr>
        <w:t>de ce qui est écrit), la composante symbolique (le code alphabétique) et la composante motrice (la dextérité graphique).</w:t>
      </w:r>
    </w:p>
    <w:p w:rsidR="00E14D2E" w:rsidRDefault="00E14D2E">
      <w:pPr>
        <w:pStyle w:val="Standard"/>
        <w:rPr>
          <w:rFonts w:ascii="Arial" w:hAnsi="Arial"/>
        </w:rPr>
      </w:pPr>
    </w:p>
    <w:p w:rsidR="00E14D2E" w:rsidRDefault="000741C1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Attendus :</w:t>
      </w:r>
    </w:p>
    <w:p w:rsidR="00E14D2E" w:rsidRDefault="000741C1">
      <w:pPr>
        <w:pStyle w:val="Textbody"/>
        <w:rPr>
          <w:rFonts w:ascii="Arial" w:hAnsi="Arial"/>
        </w:rPr>
      </w:pPr>
      <w:r>
        <w:rPr>
          <w:rFonts w:ascii="Arial" w:hAnsi="Arial"/>
        </w:rPr>
        <w:t>- Manifester de la curiosité par rapport à l’écrit. Pouvoir redire les mots d’une phrase écrite après sa lecture par l’adul</w:t>
      </w:r>
      <w:r>
        <w:rPr>
          <w:rFonts w:ascii="Arial" w:hAnsi="Arial"/>
        </w:rPr>
        <w:t>te, les mots du titre connu d’un livre ou d’un texte.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Participer verbalement à la production d’un écrit. Savoir qu’on n’écrit pas comme on parle.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Repérer des régularités dans la langue à l’oral en français (éventuellement dans une autre langue).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Man</w:t>
      </w:r>
      <w:r>
        <w:rPr>
          <w:rFonts w:ascii="Arial" w:hAnsi="Arial"/>
        </w:rPr>
        <w:t>ipuler des syllabes.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Discriminer des sons (syllabes, sons-voyelles ; quelques sons-consonnes hors des consonnes occlusives).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Reconnaître les lettres de l’alphabet et connaître les correspondances entre les trois manières de les écrire : cursive, script</w:t>
      </w:r>
      <w:r>
        <w:rPr>
          <w:rFonts w:ascii="Arial" w:hAnsi="Arial"/>
        </w:rPr>
        <w:t>, capitales d’imprimerie. Copier à l’aide d’un clavier.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Écrire son prénom en écriture cursive, sans modèle.</w:t>
      </w:r>
    </w:p>
    <w:p w:rsidR="00E14D2E" w:rsidRDefault="000741C1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- Écrire seul un mot en utilisant des lettres ou groupes de lettres empruntés aux mots connus.</w:t>
      </w:r>
    </w:p>
    <w:p w:rsidR="00E14D2E" w:rsidRDefault="00E14D2E">
      <w:pPr>
        <w:pStyle w:val="Standard"/>
        <w:rPr>
          <w:rFonts w:ascii="Arial" w:hAnsi="Arial"/>
        </w:rPr>
      </w:pPr>
    </w:p>
    <w:sectPr w:rsidR="00E14D2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C1" w:rsidRDefault="000741C1">
      <w:r>
        <w:separator/>
      </w:r>
    </w:p>
  </w:endnote>
  <w:endnote w:type="continuationSeparator" w:id="0">
    <w:p w:rsidR="000741C1" w:rsidRDefault="0007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C1" w:rsidRDefault="000741C1">
      <w:r>
        <w:rPr>
          <w:color w:val="000000"/>
        </w:rPr>
        <w:separator/>
      </w:r>
    </w:p>
  </w:footnote>
  <w:footnote w:type="continuationSeparator" w:id="0">
    <w:p w:rsidR="000741C1" w:rsidRDefault="0007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3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4D2E"/>
    <w:rsid w:val="000741C1"/>
    <w:rsid w:val="00BD33AC"/>
    <w:rsid w:val="00E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686ED-751A-4B53-BBEE-1A95D7F7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Fromentin Sidonie</dc:creator>
  <cp:lastModifiedBy>Sidonie FROMENTIN</cp:lastModifiedBy>
  <cp:revision>2</cp:revision>
  <dcterms:created xsi:type="dcterms:W3CDTF">2018-03-28T18:50:00Z</dcterms:created>
  <dcterms:modified xsi:type="dcterms:W3CDTF">2018-03-28T18:50:00Z</dcterms:modified>
</cp:coreProperties>
</file>